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Check foreign travel advice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Read the current destination advice, understand its geographic and risk scope and review insurance and contingency implications before and during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2e87da2fced2811f22469ff3b3074ec2552c810ea6d1564847f2ba578feb9758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76e949f90d88fd1a12966d314cc7538000723d1658eace520a5647200874c7f5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explore/ai/families/check-foreign-travel-advice.html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https://chris-page-gov.github.io/okf-uk-living/explore/ai/families/check-foreign-travel-advice.html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is destination safe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FCDO travel warning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country travel advice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traveller needs current official safety, security, health or disruption information for a destination.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dated official advice without turning it into a personal risk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dataset/check-foreign-travel-advice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service-episode/check-foreign-travel-advice-ordinary-source-linked-route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traveller needs current official 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Read the current destination advice, understand its geographic and risk scope and review insurance and contingency implications before and during travel.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service-step/check-foreign-travel-advice-ordinary-source-linked-route-select-current-jurisdiction-route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check foreign travel advice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service-step/check-foreign-travel-advice-ordinary-source-linked-route-follow-current-official-instructions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 the current destination advice, understand its geographic and risk scope and review insurance and contingency implications before and during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service-episode/check-foreign-travel-advice-exception-or-route-failure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service-step/check-foreign-travel-advice-exception-or-route-failure-resolve-route-boundary-or-failure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Foreign travel 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https://www.gov.uk/foreign-travel-advice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check-foreign-travel-advice-primary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resource/check-foreign-travel-advice-check-foreign-travel-advice-primary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uk_foreign_travel_advice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Publishes current UK government destination advice and significant warnings.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safety, cover every local condition or make an insurance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eck-foreign-travel-advice.html" TargetMode="External"/><Relationship Id="rId12" Type="http://schemas.openxmlformats.org/officeDocument/2006/relationships/hyperlink" Target="https://www.gov.uk/foreign-travel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foreign travel advice — governed family record</dc:title>
  <dc:subject>SharePoint and Microsoft 365 Copilot retrieval experiment</dc:subject>
  <dc:creator>OKF Explorer</dc:creator>
  <cp:keywords>OKF, Open Knowledge Format, SharePoint, Microsoft 365 Copilot, check-foreign-travel-advice, is destination safe, FCDO travel warning, country travel advice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