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200" w:after="60"/>
      </w:pPr>
      <w:r>
        <w:rPr>
          <w:rFonts w:ascii="Calibri" w:hAnsi="Calibri" w:eastAsia="Calibri"/>
          <w:b/>
          <w:sz w:val="19"/>
          <w:lang w:val="en-GB"/>
        </w:rPr>
        <w:t>EXPLORE OKF — RETRIEVAL PROFILE V2</w:t>
      </w:r>
    </w:p>
    <w:p>
      <w:pPr>
        <w:keepNext/>
        <w:spacing w:before="0" w:after="60"/>
      </w:pPr>
      <w:r>
        <w:rPr>
          <w:rFonts w:ascii="Calibri" w:hAnsi="Calibri" w:eastAsia="Calibri"/>
          <w:b/>
          <w:sz w:val="48"/>
          <w:lang w:val="en-GB"/>
        </w:rPr>
        <w:t>Register a death</w:t>
      </w:r>
    </w:p>
    <w:p>
      <w:pPr>
        <w:spacing w:before="0" w:after="160"/>
      </w:pPr>
      <w:r>
        <w:rPr>
          <w:rFonts w:ascii="Calibri" w:hAnsi="Calibri" w:eastAsia="Calibri"/>
          <w:sz w:val="24"/>
          <w:lang w:val="en-GB"/>
        </w:rPr>
        <w:t>Concise governed family record for SharePoint and AI discovery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Stable family ID: </w:t>
      </w:r>
      <w:r>
        <w:rPr>
          <w:rFonts w:ascii="Courier New" w:hAnsi="Courier New" w:eastAsia="Courier New"/>
          <w:color w:val="17212B"/>
          <w:sz w:val="19"/>
          <w:lang w:val="en-GB"/>
        </w:rPr>
        <w:t>register-a-death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Description: </w:t>
      </w:r>
      <w:r>
        <w:rPr>
          <w:rFonts w:ascii="Calibri" w:hAnsi="Calibri" w:eastAsia="Calibri"/>
          <w:color w:val="17212B"/>
          <w:sz w:val="22"/>
          <w:lang w:val="en-GB"/>
        </w:rPr>
        <w:t>Follow the certification or investigation handoff into the applicable registration authority and retain the official registration outputs.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Interaction boundary: </w:t>
      </w:r>
      <w:r>
        <w:rPr>
          <w:rFonts w:ascii="Calibri" w:hAnsi="Calibri" w:eastAsia="Calibri"/>
          <w:color w:val="17212B"/>
          <w:sz w:val="22"/>
          <w:lang w:val="en-GB"/>
        </w:rPr>
        <w:t>Discovery and evidence handoff only; no cause-of-death, informant, investigation or registration decision is made.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Unique family HTML SHA-256: </w:t>
      </w:r>
      <w:r>
        <w:rPr>
          <w:rFonts w:ascii="Courier New" w:hAnsi="Courier New" w:eastAsia="Courier New"/>
          <w:color w:val="17212B"/>
          <w:sz w:val="19"/>
          <w:lang w:val="en-GB"/>
        </w:rPr>
        <w:t>47c03ef4042870bc3e1ef141575e633ba0b162076f55d4779c92598e0b19c288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Governed record SHA-256: </w:t>
      </w:r>
      <w:r>
        <w:rPr>
          <w:rFonts w:ascii="Courier New" w:hAnsi="Courier New" w:eastAsia="Courier New"/>
          <w:color w:val="17212B"/>
          <w:sz w:val="19"/>
          <w:lang w:val="en-GB"/>
        </w:rPr>
        <w:t>1f09c5e35e69577d821f038d71055b21c83abd6dd8bd9ef2bfb5a7bc67ff8280</w:t>
      </w:r>
    </w:p>
    <w:p>
      <w:pPr>
        <w:spacing w:before="80" w:after="160"/>
      </w:pPr>
      <w:r>
        <w:rPr>
          <w:rFonts w:ascii="Calibri" w:hAnsi="Calibri" w:eastAsia="Calibri"/>
          <w:b/>
          <w:lang w:val="en-GB"/>
        </w:rPr>
        <w:t xml:space="preserve">Exploratory. </w:t>
      </w:r>
      <w:r>
        <w:rPr>
          <w:rFonts w:ascii="Calibri" w:hAnsi="Calibri" w:eastAsia="Calibri"/>
          <w:lang w:val="en-GB"/>
        </w:rPr>
        <w:t>This deterministic derivative is a discovery aid, not an official service or current or personalised advice. Check the current official source before acting.</w:t>
      </w:r>
    </w:p>
    <w:p>
      <w:pPr>
        <w:pStyle w:val="Heading1"/>
      </w:pPr>
      <w:r>
        <w:t>Retrieval and provenance gate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Record schema: </w:t>
      </w:r>
      <w:r>
        <w:rPr>
          <w:rFonts w:ascii="Courier New" w:hAnsi="Courier New" w:eastAsia="Courier New"/>
          <w:color w:val="17212B"/>
          <w:sz w:val="19"/>
          <w:lang w:val="en-GB"/>
        </w:rPr>
        <w:t>explore-okf-ai-family-record.v1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projection SHA-256: </w:t>
      </w:r>
      <w:r>
        <w:rPr>
          <w:rFonts w:ascii="Courier New" w:hAnsi="Courier New" w:eastAsia="Courier New"/>
          <w:color w:val="17212B"/>
          <w:sz w:val="19"/>
          <w:lang w:val="en-GB"/>
        </w:rPr>
        <w:t>646157327f3181bbef544613e8cd7398328c155dfb6939fcb9a3f1c883e07184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projection path: </w:t>
      </w:r>
      <w:r>
        <w:rPr>
          <w:rFonts w:ascii="Courier New" w:hAnsi="Courier New" w:eastAsia="Courier New"/>
          <w:color w:val="17212B"/>
          <w:sz w:val="19"/>
          <w:lang w:val="en-GB"/>
        </w:rPr>
        <w:t>explore/journey-projection.json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projection bytes: </w:t>
      </w:r>
      <w:r>
        <w:rPr>
          <w:rFonts w:ascii="Courier New" w:hAnsi="Courier New" w:eastAsia="Courier New"/>
          <w:color w:val="17212B"/>
          <w:sz w:val="19"/>
          <w:lang w:val="en-GB"/>
        </w:rPr>
        <w:t>7217377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Snapshot: </w:t>
      </w:r>
      <w:r>
        <w:rPr>
          <w:rFonts w:ascii="Courier New" w:hAnsi="Courier New" w:eastAsia="Courier New"/>
          <w:color w:val="17212B"/>
          <w:sz w:val="19"/>
          <w:lang w:val="en-GB"/>
        </w:rPr>
        <w:t>life-course-authority-infrastructure-2026-08-08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Generated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2026-08-08T00:00:00+01:00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Git commit: </w:t>
      </w:r>
      <w:r>
        <w:rPr>
          <w:rFonts w:ascii="Courier New" w:hAnsi="Courier New" w:eastAsia="Courier New"/>
          <w:color w:val="17212B"/>
          <w:sz w:val="19"/>
          <w:lang w:val="en-GB"/>
        </w:rPr>
        <w:t>736d7dc4dbb4e44082f6b7786dd88afd55954792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family path: </w:t>
      </w:r>
      <w:r>
        <w:rPr>
          <w:rFonts w:ascii="Courier New" w:hAnsi="Courier New" w:eastAsia="Courier New"/>
          <w:color w:val="17212B"/>
          <w:sz w:val="19"/>
          <w:lang w:val="en-GB"/>
        </w:rPr>
        <w:t>explore/ai/families/register-a-death.html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Public governed record: </w:t>
      </w:r>
      <w:hyperlink r:id="rId11">
        <w:r>
          <w:rPr>
            <w:color w:val="004D47"/>
            <w:u w:val="single"/>
          </w:rPr>
          <w:t>https://chris-page-gov.github.io/okf-uk-living/explore/ai/families/register-a-death.html</w:t>
        </w:r>
      </w:hyperlink>
    </w:p>
    <w:p>
      <w:pPr>
        <w:spacing w:before="80" w:after="160"/>
      </w:pPr>
      <w:r>
        <w:rPr>
          <w:rFonts w:ascii="Calibri" w:hAnsi="Calibri" w:eastAsia="Calibri"/>
          <w:b/>
          <w:lang w:val="en-GB"/>
        </w:rPr>
        <w:t xml:space="preserve">Gatekeeping rule. </w:t>
      </w:r>
      <w:r>
        <w:rPr>
          <w:rFonts w:ascii="Calibri" w:hAnsi="Calibri" w:eastAsia="Calibri"/>
          <w:lang w:val="en-GB"/>
        </w:rPr>
        <w:t>Report the record schema and source projection SHA-256 before using the family content. If either is unavailable, stop rather than infer details.</w:t>
      </w:r>
    </w:p>
    <w:p>
      <w:pPr>
        <w:pStyle w:val="Heading1"/>
      </w:pPr>
      <w:r>
        <w:t>When this family may match</w:t>
      </w:r>
    </w:p>
    <w:p>
      <w:pPr>
        <w:pStyle w:val="Heading2"/>
      </w:pPr>
      <w:r>
        <w:t>Authored terms</w:t>
      </w:r>
    </w:p>
    <w:p>
      <w:pPr>
        <w:spacing w:after="80" w:line="300" w:lineRule="auto"/>
        <w:numPr>
          <w:ilvl w:val="0"/>
          <w:numId w:val="10"/>
        </w:numPr>
      </w:pPr>
      <w:r>
        <w:rPr>
          <w:rFonts w:ascii="Calibri" w:hAnsi="Calibri" w:eastAsia="Calibri"/>
          <w:sz w:val="22"/>
          <w:lang w:val="en-GB"/>
        </w:rPr>
        <w:t>death registration</w:t>
      </w:r>
    </w:p>
    <w:p>
      <w:pPr>
        <w:spacing w:after="80" w:line="300" w:lineRule="auto"/>
        <w:numPr>
          <w:ilvl w:val="0"/>
          <w:numId w:val="10"/>
        </w:numPr>
      </w:pPr>
      <w:r>
        <w:rPr>
          <w:rFonts w:ascii="Calibri" w:hAnsi="Calibri" w:eastAsia="Calibri"/>
          <w:sz w:val="22"/>
          <w:lang w:val="en-GB"/>
        </w:rPr>
        <w:t>register someone who died</w:t>
      </w:r>
    </w:p>
    <w:p>
      <w:pPr>
        <w:spacing w:after="80" w:line="300" w:lineRule="auto"/>
        <w:numPr>
          <w:ilvl w:val="0"/>
          <w:numId w:val="10"/>
        </w:numPr>
      </w:pPr>
      <w:r>
        <w:rPr>
          <w:rFonts w:ascii="Calibri" w:hAnsi="Calibri" w:eastAsia="Calibri"/>
          <w:sz w:val="22"/>
          <w:lang w:val="en-GB"/>
        </w:rPr>
        <w:t>death certificate</w:t>
      </w:r>
    </w:p>
    <w:p>
      <w:pPr>
        <w:spacing w:after="80" w:line="300" w:lineRule="auto"/>
        <w:numPr>
          <w:ilvl w:val="0"/>
          <w:numId w:val="10"/>
        </w:numPr>
      </w:pPr>
      <w:r>
        <w:rPr>
          <w:rFonts w:ascii="Calibri" w:hAnsi="Calibri" w:eastAsia="Calibri"/>
          <w:sz w:val="22"/>
          <w:lang w:val="en-GB"/>
        </w:rPr>
        <w:t>registrar after a death</w:t>
      </w:r>
    </w:p>
    <w:p>
      <w:pPr>
        <w:spacing w:after="80" w:line="300" w:lineRule="auto"/>
        <w:numPr>
          <w:ilvl w:val="0"/>
          <w:numId w:val="10"/>
        </w:numPr>
      </w:pPr>
      <w:r>
        <w:rPr>
          <w:rFonts w:ascii="Calibri" w:hAnsi="Calibri" w:eastAsia="Calibri"/>
          <w:sz w:val="22"/>
          <w:lang w:val="en-GB"/>
        </w:rPr>
        <w:t>make registrar appointment</w:t>
      </w:r>
    </w:p>
    <w:p>
      <w:pPr>
        <w:spacing w:after="80" w:line="300" w:lineRule="auto"/>
        <w:numPr>
          <w:ilvl w:val="0"/>
          <w:numId w:val="10"/>
        </w:numPr>
      </w:pPr>
      <w:r>
        <w:rPr>
          <w:rFonts w:ascii="Calibri" w:hAnsi="Calibri" w:eastAsia="Calibri"/>
          <w:sz w:val="22"/>
          <w:lang w:val="en-GB"/>
        </w:rPr>
        <w:t>obtain death certificate</w:t>
      </w:r>
    </w:p>
    <w:p>
      <w:pPr>
        <w:pStyle w:val="Heading2"/>
      </w:pPr>
      <w:r>
        <w:t>Authored example situations</w:t>
      </w:r>
    </w:p>
    <w:p>
      <w:pPr>
        <w:spacing w:after="80" w:line="300" w:lineRule="auto"/>
        <w:numPr>
          <w:ilvl w:val="0"/>
          <w:numId w:val="11"/>
        </w:numPr>
      </w:pPr>
      <w:r>
        <w:rPr>
          <w:rFonts w:ascii="Calibri" w:hAnsi="Calibri" w:eastAsia="Calibri"/>
          <w:sz w:val="22"/>
          <w:lang w:val="en-GB"/>
        </w:rPr>
        <w:t>A death must be registered after the appropriate medical or investigation step.</w:t>
      </w:r>
    </w:p>
    <w:p>
      <w:pPr>
        <w:spacing w:after="80" w:line="300" w:lineRule="auto"/>
        <w:numPr>
          <w:ilvl w:val="0"/>
          <w:numId w:val="11"/>
        </w:numPr>
      </w:pPr>
      <w:r>
        <w:rPr>
          <w:rFonts w:ascii="Calibri" w:hAnsi="Calibri" w:eastAsia="Calibri"/>
          <w:sz w:val="22"/>
          <w:lang w:val="en-GB"/>
        </w:rPr>
        <w:t>An informant needs the correct national or local registration route.</w:t>
      </w:r>
    </w:p>
    <w:p>
      <w:pPr>
        <w:pStyle w:val="Heading2"/>
      </w:pPr>
      <w:r>
        <w:t>Authored user needs</w:t>
      </w:r>
    </w:p>
    <w:p>
      <w:pPr>
        <w:spacing w:after="80" w:line="300" w:lineRule="auto"/>
        <w:numPr>
          <w:ilvl w:val="0"/>
          <w:numId w:val="12"/>
        </w:numPr>
      </w:pPr>
      <w:r>
        <w:rPr>
          <w:rFonts w:ascii="Calibri" w:hAnsi="Calibri" w:eastAsia="Calibri"/>
          <w:sz w:val="22"/>
          <w:lang w:val="en-GB"/>
        </w:rPr>
        <w:t>Identify the applicable registration authority and required evidence.</w:t>
      </w:r>
    </w:p>
    <w:p>
      <w:pPr>
        <w:spacing w:after="80" w:line="300" w:lineRule="auto"/>
        <w:numPr>
          <w:ilvl w:val="0"/>
          <w:numId w:val="12"/>
        </w:numPr>
      </w:pPr>
      <w:r>
        <w:rPr>
          <w:rFonts w:ascii="Calibri" w:hAnsi="Calibri" w:eastAsia="Calibri"/>
          <w:sz w:val="22"/>
          <w:lang w:val="en-GB"/>
        </w:rPr>
        <w:t>Understand when a coroner or Procurator Fiscal process changes the next step.</w:t>
      </w:r>
    </w:p>
    <w:p>
      <w:pPr>
        <w:spacing w:after="80" w:line="300" w:lineRule="auto"/>
        <w:numPr>
          <w:ilvl w:val="0"/>
          <w:numId w:val="12"/>
        </w:numPr>
      </w:pPr>
      <w:r>
        <w:rPr>
          <w:rFonts w:ascii="Calibri" w:hAnsi="Calibri" w:eastAsia="Calibri"/>
          <w:sz w:val="22"/>
          <w:lang w:val="en-GB"/>
        </w:rPr>
        <w:t>Retain the certificates and references needed for later arrangements.</w:t>
      </w:r>
    </w:p>
    <w:p>
      <w:pPr>
        <w:pStyle w:val="Heading1"/>
      </w:pPr>
      <w:r>
        <w:t>Family placement and status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Family route: </w:t>
      </w:r>
      <w:r>
        <w:rPr>
          <w:rFonts w:ascii="Courier New" w:hAnsi="Courier New" w:eastAsia="Courier New"/>
          <w:color w:val="17212B"/>
          <w:sz w:val="19"/>
          <w:lang w:val="en-GB"/>
        </w:rPr>
        <w:t>dataset/register-a-death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Domain: </w:t>
      </w:r>
      <w:r>
        <w:rPr>
          <w:rFonts w:ascii="Calibri" w:hAnsi="Calibri" w:eastAsia="Calibri"/>
          <w:color w:val="17212B"/>
          <w:sz w:val="22"/>
          <w:lang w:val="en-GB"/>
        </w:rPr>
        <w:t>Death and bereavement (death-and-bereavement)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Domain route: </w:t>
      </w:r>
      <w:r>
        <w:rPr>
          <w:rFonts w:ascii="Courier New" w:hAnsi="Courier New" w:eastAsia="Courier New"/>
          <w:color w:val="17212B"/>
          <w:sz w:val="19"/>
          <w:lang w:val="en-GB"/>
        </w:rPr>
        <w:t>life-course-domain/death-and-bereavement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Enclosing process: </w:t>
      </w:r>
      <w:r>
        <w:rPr>
          <w:rFonts w:ascii="Calibri" w:hAnsi="Calibri" w:eastAsia="Calibri"/>
          <w:color w:val="17212B"/>
          <w:sz w:val="22"/>
          <w:lang w:val="en-GB"/>
        </w:rPr>
        <w:t>Certify, register, notify and arrange after death (certify-register-notify-and-arrange-after-death)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Process route: </w:t>
      </w:r>
      <w:r>
        <w:rPr>
          <w:rFonts w:ascii="Courier New" w:hAnsi="Courier New" w:eastAsia="Courier New"/>
          <w:color w:val="17212B"/>
          <w:sz w:val="19"/>
          <w:lang w:val="en-GB"/>
        </w:rPr>
        <w:t>enclosing-process/certify-register-notify-and-arrange-after-death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Population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population_complete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pStyle w:val="Heading1"/>
      </w:pPr>
      <w:r>
        <w:t>Jurisdiction routes</w:t>
      </w:r>
    </w:p>
    <w:p>
      <w:pPr>
        <w:spacing w:after="200"/>
      </w:pPr>
      <w:r>
        <w:t>Each jurisdiction is supported through an explicit route. Similar labels do not mean that rules, eligibility, evidence, costs, deadlines or remedies are the same.</w:t>
      </w:r>
    </w:p>
    <w:p>
      <w:pPr>
        <w:pStyle w:val="Heading2"/>
      </w:pPr>
      <w:r>
        <w:t>England and Wales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england-wales-register-office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organisation:local-register-office-england-wales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govuk-register-a-death</w:t>
      </w:r>
    </w:p>
    <w:p>
      <w:pPr>
        <w:pStyle w:val="Heading2"/>
      </w:pPr>
      <w:r>
        <w:t>Scotland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scotland-registration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organisation:scottish-registration-authority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nrs-registering-a-death</w:t>
      </w:r>
    </w:p>
    <w:p>
      <w:pPr>
        <w:pStyle w:val="Heading2"/>
      </w:pPr>
      <w:r>
        <w:t>Northern Ireland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northern-ireland-registration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organisation:general-register-office-northern-ireland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nidirect-registering-a-death</w:t>
      </w:r>
    </w:p>
    <w:p>
      <w:pPr>
        <w:pStyle w:val="Heading1"/>
      </w:pPr>
      <w:r>
        <w:t>Ordered journey</w:t>
      </w:r>
    </w:p>
    <w:p>
      <w:pPr>
        <w:pStyle w:val="Heading2"/>
      </w:pPr>
      <w:r>
        <w:t>Certification to registration output (ordinary)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ID: </w:t>
      </w:r>
      <w:r>
        <w:rPr>
          <w:rFonts w:ascii="Courier New" w:hAnsi="Courier New" w:eastAsia="Courier New"/>
          <w:color w:val="17212B"/>
          <w:sz w:val="19"/>
          <w:lang w:val="en-GB"/>
        </w:rPr>
        <w:t>certification-to-registration-output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order: </w:t>
      </w:r>
      <w:r>
        <w:rPr>
          <w:rFonts w:ascii="Courier New" w:hAnsi="Courier New" w:eastAsia="Courier New"/>
          <w:color w:val="17212B"/>
          <w:sz w:val="19"/>
          <w:lang w:val="en-GB"/>
        </w:rPr>
        <w:t>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service-episode/register-a-death-certification-to-registration-output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Entry state: </w:t>
      </w:r>
      <w:r>
        <w:rPr>
          <w:rFonts w:ascii="Calibri" w:hAnsi="Calibri" w:eastAsia="Calibri"/>
          <w:color w:val="17212B"/>
          <w:sz w:val="22"/>
          <w:lang w:val="en-GB"/>
        </w:rPr>
        <w:t>A synthetic certification or investigation output permits registration to proceed.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outcome: </w:t>
      </w:r>
      <w:r>
        <w:rPr>
          <w:rFonts w:ascii="Calibri" w:hAnsi="Calibri" w:eastAsia="Calibri"/>
          <w:color w:val="17212B"/>
          <w:sz w:val="22"/>
          <w:lang w:val="en-GB"/>
        </w:rPr>
        <w:t>Registration outputs and their next uses are retained.</w:t>
      </w:r>
    </w:p>
    <w:p>
      <w:pPr>
        <w:spacing w:after="80" w:line="300" w:lineRule="auto"/>
        <w:numPr>
          <w:ilvl w:val="0"/>
          <w:numId w:val="13"/>
        </w:numPr>
      </w:pPr>
      <w:r>
        <w:rPr>
          <w:rFonts w:ascii="Calibri" w:hAnsi="Calibri" w:eastAsia="Calibri"/>
          <w:sz w:val="22"/>
          <w:lang w:val="en-GB"/>
        </w:rPr>
        <w:t>Select the route from the place of death and applicable official instructions.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ID: </w:t>
      </w:r>
      <w:r>
        <w:rPr>
          <w:rFonts w:ascii="Courier New" w:hAnsi="Courier New" w:eastAsia="Courier New"/>
          <w:color w:val="17212B"/>
          <w:sz w:val="19"/>
          <w:lang w:val="en-GB"/>
        </w:rPr>
        <w:t>select-registration-route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order: </w:t>
      </w:r>
      <w:r>
        <w:rPr>
          <w:rFonts w:ascii="Courier New" w:hAnsi="Courier New" w:eastAsia="Courier New"/>
          <w:color w:val="17212B"/>
          <w:sz w:val="19"/>
          <w:lang w:val="en-GB"/>
        </w:rPr>
        <w:t>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service-step/register-a-death-certification-to-registration-output-select-registration-route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organisation:registration-authority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Requirements: </w:t>
      </w:r>
      <w:r>
        <w:rPr>
          <w:rFonts w:ascii="Calibri" w:hAnsi="Calibri" w:eastAsia="Calibri"/>
          <w:color w:val="17212B"/>
          <w:sz w:val="22"/>
          <w:lang w:val="en-GB"/>
        </w:rPr>
        <w:t>supported — Applicable certification or investigation output and informant information.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Evidence: </w:t>
      </w:r>
      <w:r>
        <w:rPr>
          <w:rFonts w:ascii="Calibri" w:hAnsi="Calibri" w:eastAsia="Calibri"/>
          <w:color w:val="17212B"/>
          <w:sz w:val="22"/>
          <w:lang w:val="en-GB"/>
        </w:rPr>
        <w:t>supported — Synthetic MCCD or authority handoff and registration details.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Rule: </w:t>
      </w:r>
      <w:r>
        <w:rPr>
          <w:rFonts w:ascii="Calibri" w:hAnsi="Calibri" w:eastAsia="Calibri"/>
          <w:color w:val="17212B"/>
          <w:sz w:val="22"/>
          <w:lang w:val="en-GB"/>
        </w:rPr>
        <w:t>supported — National and registrar-specific rules remain separate.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Channel: </w:t>
      </w:r>
      <w:r>
        <w:rPr>
          <w:rFonts w:ascii="Calibri" w:hAnsi="Calibri" w:eastAsia="Calibri"/>
          <w:color w:val="17212B"/>
          <w:sz w:val="22"/>
          <w:lang w:val="en-GB"/>
        </w:rPr>
        <w:t>supported — Current registrar booking or contact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Cost: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Certificate fees and local arrangements remain on current routes.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Time: </w:t>
      </w:r>
      <w:r>
        <w:rPr>
          <w:rFonts w:ascii="Calibri" w:hAnsi="Calibri" w:eastAsia="Calibri"/>
          <w:color w:val="17212B"/>
          <w:sz w:val="22"/>
          <w:lang w:val="en-GB"/>
        </w:rPr>
        <w:t>supported — Current jurisdiction-specific registration period applies.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Output: </w:t>
      </w:r>
      <w:r>
        <w:rPr>
          <w:rFonts w:ascii="Calibri" w:hAnsi="Calibri" w:eastAsia="Calibri"/>
          <w:color w:val="17212B"/>
          <w:sz w:val="22"/>
          <w:lang w:val="en-GB"/>
        </w:rPr>
        <w:t>supported — Correct registrar route and evidence checklist.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Outcome: </w:t>
      </w:r>
      <w:r>
        <w:rPr>
          <w:rFonts w:ascii="Calibri" w:hAnsi="Calibri" w:eastAsia="Calibri"/>
          <w:color w:val="17212B"/>
          <w:sz w:val="22"/>
          <w:lang w:val="en-GB"/>
        </w:rPr>
        <w:t>supported — Registration can proceed or an investigation route controls.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Redress: </w:t>
      </w:r>
      <w:r>
        <w:rPr>
          <w:rFonts w:ascii="Calibri" w:hAnsi="Calibri" w:eastAsia="Calibri"/>
          <w:color w:val="17212B"/>
          <w:sz w:val="22"/>
          <w:lang w:val="en-GB"/>
        </w:rPr>
        <w:t>supported — Registrar correction or complaint route where applicable.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IDs: </w:t>
      </w:r>
      <w:r>
        <w:rPr>
          <w:rFonts w:ascii="Courier New" w:hAnsi="Courier New" w:eastAsia="Courier New"/>
          <w:color w:val="17212B"/>
          <w:sz w:val="19"/>
          <w:lang w:val="en-GB"/>
        </w:rPr>
        <w:t>govuk-register-a-death, nrs-registering-a-death, nidirect-registering-a-death</w:t>
      </w:r>
    </w:p>
    <w:p>
      <w:pPr>
        <w:spacing w:after="80" w:line="300" w:lineRule="auto"/>
        <w:numPr>
          <w:ilvl w:val="0"/>
          <w:numId w:val="13"/>
        </w:numPr>
      </w:pPr>
      <w:r>
        <w:rPr>
          <w:rFonts w:ascii="Calibri" w:hAnsi="Calibri" w:eastAsia="Calibri"/>
          <w:sz w:val="22"/>
          <w:lang w:val="en-GB"/>
        </w:rPr>
        <w:t>Complete registration and retain the official certificates and references.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ID: </w:t>
      </w:r>
      <w:r>
        <w:rPr>
          <w:rFonts w:ascii="Courier New" w:hAnsi="Courier New" w:eastAsia="Courier New"/>
          <w:color w:val="17212B"/>
          <w:sz w:val="19"/>
          <w:lang w:val="en-GB"/>
        </w:rPr>
        <w:t>register-and-retain-outputs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order: </w:t>
      </w:r>
      <w:r>
        <w:rPr>
          <w:rFonts w:ascii="Courier New" w:hAnsi="Courier New" w:eastAsia="Courier New"/>
          <w:color w:val="17212B"/>
          <w:sz w:val="19"/>
          <w:lang w:val="en-GB"/>
        </w:rPr>
        <w:t>1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service-step/register-a-death-certification-to-registration-output-register-and-retain-outputs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organisation:registration-authority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Requirements: </w:t>
      </w:r>
      <w:r>
        <w:rPr>
          <w:rFonts w:ascii="Calibri" w:hAnsi="Calibri" w:eastAsia="Calibri"/>
          <w:color w:val="17212B"/>
          <w:sz w:val="22"/>
          <w:lang w:val="en-GB"/>
        </w:rPr>
        <w:t>supported — Selected route's evidence and informant conditions.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Evidence: </w:t>
      </w:r>
      <w:r>
        <w:rPr>
          <w:rFonts w:ascii="Calibri" w:hAnsi="Calibri" w:eastAsia="Calibri"/>
          <w:color w:val="17212B"/>
          <w:sz w:val="22"/>
          <w:lang w:val="en-GB"/>
        </w:rPr>
        <w:t>supported — Synthetic information only.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Rule: </w:t>
      </w:r>
      <w:r>
        <w:rPr>
          <w:rFonts w:ascii="Calibri" w:hAnsi="Calibri" w:eastAsia="Calibri"/>
          <w:color w:val="17212B"/>
          <w:sz w:val="22"/>
          <w:lang w:val="en-GB"/>
        </w:rPr>
        <w:t>supported — Registrar and investigation authority decide a real case.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Channel: </w:t>
      </w:r>
      <w:r>
        <w:rPr>
          <w:rFonts w:ascii="Calibri" w:hAnsi="Calibri" w:eastAsia="Calibri"/>
          <w:color w:val="17212B"/>
          <w:sz w:val="22"/>
          <w:lang w:val="en-GB"/>
        </w:rPr>
        <w:t>supported — Official registration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Cost: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Current service controls any certificate charge.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Time: </w:t>
      </w:r>
      <w:r>
        <w:rPr>
          <w:rFonts w:ascii="Calibri" w:hAnsi="Calibri" w:eastAsia="Calibri"/>
          <w:color w:val="17212B"/>
          <w:sz w:val="22"/>
          <w:lang w:val="en-GB"/>
        </w:rPr>
        <w:t>supported — Jurisdiction-specific deadline and appointment arrangements.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Output: </w:t>
      </w:r>
      <w:r>
        <w:rPr>
          <w:rFonts w:ascii="Calibri" w:hAnsi="Calibri" w:eastAsia="Calibri"/>
          <w:color w:val="17212B"/>
          <w:sz w:val="22"/>
          <w:lang w:val="en-GB"/>
        </w:rPr>
        <w:t>supported — Registration certificate, notification reference or burial/cremation document as applicable.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Outcome: </w:t>
      </w:r>
      <w:r>
        <w:rPr>
          <w:rFonts w:ascii="Calibri" w:hAnsi="Calibri" w:eastAsia="Calibri"/>
          <w:color w:val="17212B"/>
          <w:sz w:val="22"/>
          <w:lang w:val="en-GB"/>
        </w:rPr>
        <w:t>supported — Ready for notification, funeral and estate processes.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Redress: </w:t>
      </w:r>
      <w:r>
        <w:rPr>
          <w:rFonts w:ascii="Calibri" w:hAnsi="Calibri" w:eastAsia="Calibri"/>
          <w:color w:val="17212B"/>
          <w:sz w:val="22"/>
          <w:lang w:val="en-GB"/>
        </w:rPr>
        <w:t>supported — Current correction route where an entry needs amendment.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IDs: </w:t>
      </w:r>
      <w:r>
        <w:rPr>
          <w:rFonts w:ascii="Courier New" w:hAnsi="Courier New" w:eastAsia="Courier New"/>
          <w:color w:val="17212B"/>
          <w:sz w:val="19"/>
          <w:lang w:val="en-GB"/>
        </w:rPr>
        <w:t>govuk-correcting-death-registration, nrs-registering-a-death, nidirect-registering-a-death</w:t>
      </w:r>
    </w:p>
    <w:p>
      <w:pPr>
        <w:pStyle w:val="Heading2"/>
      </w:pPr>
      <w:r>
        <w:t>Investigation or correction required (exception)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ID: </w:t>
      </w:r>
      <w:r>
        <w:rPr>
          <w:rFonts w:ascii="Courier New" w:hAnsi="Courier New" w:eastAsia="Courier New"/>
          <w:color w:val="17212B"/>
          <w:sz w:val="19"/>
          <w:lang w:val="en-GB"/>
        </w:rPr>
        <w:t>investigation-or-correction-required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order: </w:t>
      </w:r>
      <w:r>
        <w:rPr>
          <w:rFonts w:ascii="Courier New" w:hAnsi="Courier New" w:eastAsia="Courier New"/>
          <w:color w:val="17212B"/>
          <w:sz w:val="19"/>
          <w:lang w:val="en-GB"/>
        </w:rPr>
        <w:t>1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service-episode/register-a-death-investigation-or-correction-required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Entry state: </w:t>
      </w:r>
      <w:r>
        <w:rPr>
          <w:rFonts w:ascii="Calibri" w:hAnsi="Calibri" w:eastAsia="Calibri"/>
          <w:color w:val="17212B"/>
          <w:sz w:val="22"/>
          <w:lang w:val="en-GB"/>
        </w:rPr>
        <w:t>A coroner or Procurator Fiscal process controls, or a completed entry may require correction.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outcome: </w:t>
      </w:r>
      <w:r>
        <w:rPr>
          <w:rFonts w:ascii="Calibri" w:hAnsi="Calibri" w:eastAsia="Calibri"/>
          <w:color w:val="17212B"/>
          <w:sz w:val="22"/>
          <w:lang w:val="en-GB"/>
        </w:rPr>
        <w:t>The authority-specific instruction or correction outcome is retained.</w:t>
      </w:r>
    </w:p>
    <w:p>
      <w:pPr>
        <w:spacing w:after="80" w:line="300" w:lineRule="auto"/>
        <w:numPr>
          <w:ilvl w:val="0"/>
          <w:numId w:val="14"/>
        </w:numPr>
      </w:pPr>
      <w:r>
        <w:rPr>
          <w:rFonts w:ascii="Calibri" w:hAnsi="Calibri" w:eastAsia="Calibri"/>
          <w:sz w:val="22"/>
          <w:lang w:val="en-GB"/>
        </w:rPr>
        <w:t>Follow the investigation or correction route without deciding cause or sufficiency.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ID: </w:t>
      </w:r>
      <w:r>
        <w:rPr>
          <w:rFonts w:ascii="Courier New" w:hAnsi="Courier New" w:eastAsia="Courier New"/>
          <w:color w:val="17212B"/>
          <w:sz w:val="19"/>
          <w:lang w:val="en-GB"/>
        </w:rPr>
        <w:t>hand-to-investigation-or-correction-authority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order: </w:t>
      </w:r>
      <w:r>
        <w:rPr>
          <w:rFonts w:ascii="Courier New" w:hAnsi="Courier New" w:eastAsia="Courier New"/>
          <w:color w:val="17212B"/>
          <w:sz w:val="19"/>
          <w:lang w:val="en-GB"/>
        </w:rPr>
        <w:t>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service-step/register-a-death-investigation-or-correction-required-hand-to-investigation-or-correction-authority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organisation:death-investigation-or-registration-authority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Requirements: </w:t>
      </w:r>
      <w:r>
        <w:rPr>
          <w:rFonts w:ascii="Calibri" w:hAnsi="Calibri" w:eastAsia="Calibri"/>
          <w:color w:val="17212B"/>
          <w:sz w:val="22"/>
          <w:lang w:val="en-GB"/>
        </w:rPr>
        <w:t>supported — Authority-specific referral, investigation or correction evidence.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Evidence: </w:t>
      </w:r>
      <w:r>
        <w:rPr>
          <w:rFonts w:ascii="Calibri" w:hAnsi="Calibri" w:eastAsia="Calibri"/>
          <w:color w:val="17212B"/>
          <w:sz w:val="22"/>
          <w:lang w:val="en-GB"/>
        </w:rPr>
        <w:t>supported — Synthetic authority output.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Rule: </w:t>
      </w:r>
      <w:r>
        <w:rPr>
          <w:rFonts w:ascii="Calibri" w:hAnsi="Calibri" w:eastAsia="Calibri"/>
          <w:color w:val="17212B"/>
          <w:sz w:val="22"/>
          <w:lang w:val="en-GB"/>
        </w:rPr>
        <w:t>supported — The responsible authority controls when registration can continue.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Channel: </w:t>
      </w:r>
      <w:r>
        <w:rPr>
          <w:rFonts w:ascii="Calibri" w:hAnsi="Calibri" w:eastAsia="Calibri"/>
          <w:color w:val="17212B"/>
          <w:sz w:val="22"/>
          <w:lang w:val="en-GB"/>
        </w:rPr>
        <w:t>supported — Official investigation or correction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Cost: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Consult the current authority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Time: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Investigation and correction timing is case-specific.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Output: </w:t>
      </w:r>
      <w:r>
        <w:rPr>
          <w:rFonts w:ascii="Calibri" w:hAnsi="Calibri" w:eastAsia="Calibri"/>
          <w:color w:val="17212B"/>
          <w:sz w:val="22"/>
          <w:lang w:val="en-GB"/>
        </w:rPr>
        <w:t>supported — Authority instruction or corrected entry.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Outcome: </w:t>
      </w:r>
      <w:r>
        <w:rPr>
          <w:rFonts w:ascii="Calibri" w:hAnsi="Calibri" w:eastAsia="Calibri"/>
          <w:color w:val="17212B"/>
          <w:sz w:val="22"/>
          <w:lang w:val="en-GB"/>
        </w:rPr>
        <w:t>supported — Return to registration or retain the unresolved authority state.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Redress: </w:t>
      </w:r>
      <w:r>
        <w:rPr>
          <w:rFonts w:ascii="Calibri" w:hAnsi="Calibri" w:eastAsia="Calibri"/>
          <w:color w:val="17212B"/>
          <w:sz w:val="22"/>
          <w:lang w:val="en-GB"/>
        </w:rPr>
        <w:t>supported — Authority complaint or applicable legal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IDs: </w:t>
      </w:r>
      <w:r>
        <w:rPr>
          <w:rFonts w:ascii="Courier New" w:hAnsi="Courier New" w:eastAsia="Courier New"/>
          <w:color w:val="17212B"/>
          <w:sz w:val="19"/>
          <w:lang w:val="en-GB"/>
        </w:rPr>
        <w:t>govuk-correcting-death-registration, copfs-death-investigation, nidirect-coroners</w:t>
      </w:r>
    </w:p>
    <w:p>
      <w:pPr>
        <w:pStyle w:val="Heading1"/>
      </w:pPr>
      <w:r>
        <w:t>Official source handoffs</w:t>
      </w:r>
    </w:p>
    <w:p>
      <w:r>
        <w:t>These links locate current official services. Check the relevant official source before acting.</w:t>
      </w:r>
    </w:p>
    <w:p>
      <w:pPr>
        <w:pStyle w:val="Heading2"/>
      </w:pPr>
      <w:r>
        <w:t>England and Wales: Routes a user to the applicable UK or overseas registration service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Official URL: </w:t>
      </w:r>
      <w:hyperlink r:id="rId12">
        <w:r>
          <w:rPr>
            <w:color w:val="004D47"/>
            <w:u w:val="single"/>
          </w:rPr>
          <w:t>https://www.gov.uk/register-a-death</w:t>
        </w:r>
      </w:hyperlink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Owner: </w:t>
      </w:r>
      <w:r>
        <w:rPr>
          <w:rFonts w:ascii="Calibri" w:hAnsi="Calibri" w:eastAsia="Calibri"/>
          <w:color w:val="17212B"/>
          <w:sz w:val="22"/>
          <w:lang w:val="en-GB"/>
        </w:rPr>
        <w:t>Government Digital Service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ID: </w:t>
      </w:r>
      <w:r>
        <w:rPr>
          <w:rFonts w:ascii="Courier New" w:hAnsi="Courier New" w:eastAsia="Courier New"/>
          <w:color w:val="17212B"/>
          <w:sz w:val="19"/>
          <w:lang w:val="en-GB"/>
        </w:rPr>
        <w:t>govuk-register-a-death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route: </w:t>
      </w:r>
      <w:r>
        <w:rPr>
          <w:rFonts w:ascii="Courier New" w:hAnsi="Courier New" w:eastAsia="Courier New"/>
          <w:color w:val="17212B"/>
          <w:sz w:val="19"/>
          <w:lang w:val="en-GB"/>
        </w:rPr>
        <w:t>resource/register-a-death-govuk-register-a-death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Authority role: </w:t>
      </w:r>
      <w:r>
        <w:rPr>
          <w:rFonts w:ascii="Courier New" w:hAnsi="Courier New" w:eastAsia="Courier New"/>
          <w:color w:val="17212B"/>
          <w:sz w:val="19"/>
          <w:lang w:val="en-GB"/>
        </w:rPr>
        <w:t>uk_death_registration_locator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Summary: </w:t>
      </w:r>
      <w:r>
        <w:rPr>
          <w:rFonts w:ascii="Calibri" w:hAnsi="Calibri" w:eastAsia="Calibri"/>
          <w:color w:val="17212B"/>
          <w:sz w:val="22"/>
          <w:lang w:val="en-GB"/>
        </w:rPr>
        <w:t>routes a user to the applicable UK or overseas registration service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Observed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2026-08-07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Freshness: </w:t>
      </w:r>
      <w:r>
        <w:rPr>
          <w:rFonts w:ascii="Courier New" w:hAnsi="Courier New" w:eastAsia="Courier New"/>
          <w:color w:val="17212B"/>
          <w:sz w:val="19"/>
          <w:lang w:val="en-GB"/>
        </w:rPr>
        <w:t>check_before_each_use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Jurisdiction basis: </w:t>
      </w:r>
      <w:r>
        <w:rPr>
          <w:rFonts w:ascii="Courier New" w:hAnsi="Courier New" w:eastAsia="Courier New"/>
          <w:color w:val="17212B"/>
          <w:sz w:val="19"/>
          <w:lang w:val="en-GB"/>
        </w:rPr>
        <w:t>explicit-family-applicability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Rights decision: </w:t>
      </w:r>
      <w:r>
        <w:rPr>
          <w:rFonts w:ascii="Courier New" w:hAnsi="Courier New" w:eastAsia="Courier New"/>
          <w:color w:val="17212B"/>
          <w:sz w:val="19"/>
          <w:lang w:val="en-GB"/>
        </w:rPr>
        <w:t>linked_reference_summary_only_source_family_decision_recorded</w:t>
      </w:r>
    </w:p>
    <w:p>
      <w:pPr>
        <w:pStyle w:val="Heading3"/>
      </w:pPr>
      <w:r>
        <w:t>Source limitations</w:t>
      </w:r>
    </w:p>
    <w:p>
      <w:pPr>
        <w:spacing w:after="80" w:line="300" w:lineRule="auto"/>
        <w:numPr>
          <w:ilvl w:val="0"/>
          <w:numId w:val="15"/>
        </w:numPr>
      </w:pPr>
      <w:r>
        <w:rPr>
          <w:rFonts w:ascii="Calibri" w:hAnsi="Calibri" w:eastAsia="Calibri"/>
          <w:sz w:val="22"/>
          <w:lang w:val="en-GB"/>
        </w:rPr>
        <w:t>does not itself establish identical registration rules across the UK</w:t>
      </w:r>
    </w:p>
    <w:p>
      <w:pPr>
        <w:pStyle w:val="Heading2"/>
      </w:pPr>
      <w:r>
        <w:t>England and Wales: Correction boundary and application route for an England or Wales death entry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Official URL: </w:t>
      </w:r>
      <w:hyperlink r:id="rId13">
        <w:r>
          <w:rPr>
            <w:color w:val="004D47"/>
            <w:u w:val="single"/>
          </w:rPr>
          <w:t>https://www.gov.uk/correcting-a-death-registration</w:t>
        </w:r>
      </w:hyperlink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Owner: </w:t>
      </w:r>
      <w:r>
        <w:rPr>
          <w:rFonts w:ascii="Calibri" w:hAnsi="Calibri" w:eastAsia="Calibri"/>
          <w:color w:val="17212B"/>
          <w:sz w:val="22"/>
          <w:lang w:val="en-GB"/>
        </w:rPr>
        <w:t>General Register Office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ID: </w:t>
      </w:r>
      <w:r>
        <w:rPr>
          <w:rFonts w:ascii="Courier New" w:hAnsi="Courier New" w:eastAsia="Courier New"/>
          <w:color w:val="17212B"/>
          <w:sz w:val="19"/>
          <w:lang w:val="en-GB"/>
        </w:rPr>
        <w:t>govuk-correcting-death-registration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route: </w:t>
      </w:r>
      <w:r>
        <w:rPr>
          <w:rFonts w:ascii="Courier New" w:hAnsi="Courier New" w:eastAsia="Courier New"/>
          <w:color w:val="17212B"/>
          <w:sz w:val="19"/>
          <w:lang w:val="en-GB"/>
        </w:rPr>
        <w:t>resource/register-a-death-govuk-correcting-death-registration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Authority role: </w:t>
      </w:r>
      <w:r>
        <w:rPr>
          <w:rFonts w:ascii="Courier New" w:hAnsi="Courier New" w:eastAsia="Courier New"/>
          <w:color w:val="17212B"/>
          <w:sz w:val="19"/>
          <w:lang w:val="en-GB"/>
        </w:rPr>
        <w:t>england_wales_death_registration_correction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Summary: </w:t>
      </w:r>
      <w:r>
        <w:rPr>
          <w:rFonts w:ascii="Calibri" w:hAnsi="Calibri" w:eastAsia="Calibri"/>
          <w:color w:val="17212B"/>
          <w:sz w:val="22"/>
          <w:lang w:val="en-GB"/>
        </w:rPr>
        <w:t>correction boundary and application route for an England or Wales death entry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Observed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2026-08-07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Freshness: </w:t>
      </w:r>
      <w:r>
        <w:rPr>
          <w:rFonts w:ascii="Courier New" w:hAnsi="Courier New" w:eastAsia="Courier New"/>
          <w:color w:val="17212B"/>
          <w:sz w:val="19"/>
          <w:lang w:val="en-GB"/>
        </w:rPr>
        <w:t>check_before_each_use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Jurisdiction basis: </w:t>
      </w:r>
      <w:r>
        <w:rPr>
          <w:rFonts w:ascii="Courier New" w:hAnsi="Courier New" w:eastAsia="Courier New"/>
          <w:color w:val="17212B"/>
          <w:sz w:val="19"/>
          <w:lang w:val="en-GB"/>
        </w:rPr>
        <w:t>explicit-family-applicability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Rights decision: </w:t>
      </w:r>
      <w:r>
        <w:rPr>
          <w:rFonts w:ascii="Courier New" w:hAnsi="Courier New" w:eastAsia="Courier New"/>
          <w:color w:val="17212B"/>
          <w:sz w:val="19"/>
          <w:lang w:val="en-GB"/>
        </w:rPr>
        <w:t>linked_reference_summary_only_source_family_decision_recorded</w:t>
      </w:r>
    </w:p>
    <w:p>
      <w:pPr>
        <w:pStyle w:val="Heading3"/>
      </w:pPr>
      <w:r>
        <w:t>Source limitations</w:t>
      </w:r>
    </w:p>
    <w:p>
      <w:pPr>
        <w:spacing w:after="80" w:line="300" w:lineRule="auto"/>
        <w:numPr>
          <w:ilvl w:val="0"/>
          <w:numId w:val="16"/>
        </w:numPr>
      </w:pPr>
      <w:r>
        <w:rPr>
          <w:rFonts w:ascii="Calibri" w:hAnsi="Calibri" w:eastAsia="Calibri"/>
          <w:sz w:val="22"/>
          <w:lang w:val="en-GB"/>
        </w:rPr>
        <w:t>not a route for changing a correctly recorded fact or a Scottish or Northern Ireland registration</w:t>
      </w:r>
    </w:p>
    <w:p>
      <w:pPr>
        <w:pStyle w:val="Heading2"/>
      </w:pPr>
      <w:r>
        <w:t>Scotland: Scottish registration time, informant, MCCD, output and Tell Us Once 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Official URL: </w:t>
      </w:r>
      <w:hyperlink r:id="rId14">
        <w:r>
          <w:rPr>
            <w:color w:val="004D47"/>
            <w:u w:val="single"/>
          </w:rPr>
          <w:t>https://www.nrscotland.gov.uk/registration/registering-a-death</w:t>
        </w:r>
      </w:hyperlink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Owner: </w:t>
      </w:r>
      <w:r>
        <w:rPr>
          <w:rFonts w:ascii="Calibri" w:hAnsi="Calibri" w:eastAsia="Calibri"/>
          <w:color w:val="17212B"/>
          <w:sz w:val="22"/>
          <w:lang w:val="en-GB"/>
        </w:rPr>
        <w:t>National Records of Scotland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ID: </w:t>
      </w:r>
      <w:r>
        <w:rPr>
          <w:rFonts w:ascii="Courier New" w:hAnsi="Courier New" w:eastAsia="Courier New"/>
          <w:color w:val="17212B"/>
          <w:sz w:val="19"/>
          <w:lang w:val="en-GB"/>
        </w:rPr>
        <w:t>nrs-registering-a-death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route: </w:t>
      </w:r>
      <w:r>
        <w:rPr>
          <w:rFonts w:ascii="Courier New" w:hAnsi="Courier New" w:eastAsia="Courier New"/>
          <w:color w:val="17212B"/>
          <w:sz w:val="19"/>
          <w:lang w:val="en-GB"/>
        </w:rPr>
        <w:t>resource/register-a-death-nrs-registering-a-death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Authority role: </w:t>
      </w:r>
      <w:r>
        <w:rPr>
          <w:rFonts w:ascii="Courier New" w:hAnsi="Courier New" w:eastAsia="Courier New"/>
          <w:color w:val="17212B"/>
          <w:sz w:val="19"/>
          <w:lang w:val="en-GB"/>
        </w:rPr>
        <w:t>scotland_death_registration_guidance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Summary: </w:t>
      </w:r>
      <w:r>
        <w:rPr>
          <w:rFonts w:ascii="Calibri" w:hAnsi="Calibri" w:eastAsia="Calibri"/>
          <w:color w:val="17212B"/>
          <w:sz w:val="22"/>
          <w:lang w:val="en-GB"/>
        </w:rPr>
        <w:t>Scottish registration time, informant, MCCD, output and Tell Us Once 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Observed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2026-08-07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Freshness: </w:t>
      </w:r>
      <w:r>
        <w:rPr>
          <w:rFonts w:ascii="Courier New" w:hAnsi="Courier New" w:eastAsia="Courier New"/>
          <w:color w:val="17212B"/>
          <w:sz w:val="19"/>
          <w:lang w:val="en-GB"/>
        </w:rPr>
        <w:t>check_before_each_use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Jurisdiction basis: </w:t>
      </w:r>
      <w:r>
        <w:rPr>
          <w:rFonts w:ascii="Courier New" w:hAnsi="Courier New" w:eastAsia="Courier New"/>
          <w:color w:val="17212B"/>
          <w:sz w:val="19"/>
          <w:lang w:val="en-GB"/>
        </w:rPr>
        <w:t>explicit-family-applicability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Rights decision: </w:t>
      </w:r>
      <w:r>
        <w:rPr>
          <w:rFonts w:ascii="Courier New" w:hAnsi="Courier New" w:eastAsia="Courier New"/>
          <w:color w:val="17212B"/>
          <w:sz w:val="19"/>
          <w:lang w:val="en-GB"/>
        </w:rPr>
        <w:t>linked_reference_summary_only_source_family_decision_recorded</w:t>
      </w:r>
    </w:p>
    <w:p>
      <w:pPr>
        <w:pStyle w:val="Heading3"/>
      </w:pPr>
      <w:r>
        <w:t>Source limitations</w:t>
      </w:r>
    </w:p>
    <w:p>
      <w:pPr>
        <w:spacing w:after="80" w:line="300" w:lineRule="auto"/>
        <w:numPr>
          <w:ilvl w:val="0"/>
          <w:numId w:val="17"/>
        </w:numPr>
      </w:pPr>
      <w:r>
        <w:rPr>
          <w:rFonts w:ascii="Calibri" w:hAnsi="Calibri" w:eastAsia="Calibri"/>
          <w:sz w:val="22"/>
          <w:lang w:val="en-GB"/>
        </w:rPr>
        <w:t>delay and investigation exceptions remain with the registrar and Procurator Fiscal route</w:t>
      </w:r>
    </w:p>
    <w:p>
      <w:pPr>
        <w:pStyle w:val="Heading2"/>
      </w:pPr>
      <w:r>
        <w:t>Scotland: Bereaved-family explanation of the Scottish sudden, suspicious, unexpected or unexplained death-investigation boundary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Official URL: </w:t>
      </w:r>
      <w:hyperlink r:id="rId15">
        <w:r>
          <w:rPr>
            <w:color w:val="004D47"/>
            <w:u w:val="single"/>
          </w:rPr>
          <w:t>https://www.copfs.gov.uk/services/bereavement-support/guide-for-bereaved-family-members/deaths-investigation-video-script/</w:t>
        </w:r>
      </w:hyperlink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Owner: </w:t>
      </w:r>
      <w:r>
        <w:rPr>
          <w:rFonts w:ascii="Calibri" w:hAnsi="Calibri" w:eastAsia="Calibri"/>
          <w:color w:val="17212B"/>
          <w:sz w:val="22"/>
          <w:lang w:val="en-GB"/>
        </w:rPr>
        <w:t>Crown Office and Procurator Fiscal Service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ID: </w:t>
      </w:r>
      <w:r>
        <w:rPr>
          <w:rFonts w:ascii="Courier New" w:hAnsi="Courier New" w:eastAsia="Courier New"/>
          <w:color w:val="17212B"/>
          <w:sz w:val="19"/>
          <w:lang w:val="en-GB"/>
        </w:rPr>
        <w:t>copfs-death-investigation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route: </w:t>
      </w:r>
      <w:r>
        <w:rPr>
          <w:rFonts w:ascii="Courier New" w:hAnsi="Courier New" w:eastAsia="Courier New"/>
          <w:color w:val="17212B"/>
          <w:sz w:val="19"/>
          <w:lang w:val="en-GB"/>
        </w:rPr>
        <w:t>resource/register-a-death-copfs-death-investigation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Authority role: </w:t>
      </w:r>
      <w:r>
        <w:rPr>
          <w:rFonts w:ascii="Courier New" w:hAnsi="Courier New" w:eastAsia="Courier New"/>
          <w:color w:val="17212B"/>
          <w:sz w:val="19"/>
          <w:lang w:val="en-GB"/>
        </w:rPr>
        <w:t>scotland_death_investigation_guidance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Summary: </w:t>
      </w:r>
      <w:r>
        <w:rPr>
          <w:rFonts w:ascii="Calibri" w:hAnsi="Calibri" w:eastAsia="Calibri"/>
          <w:color w:val="17212B"/>
          <w:sz w:val="22"/>
          <w:lang w:val="en-GB"/>
        </w:rPr>
        <w:t>bereaved-family explanation of the Scottish sudden, suspicious, unexpected or unexplained death-investigation boundary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Observed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2026-08-07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Freshness: </w:t>
      </w:r>
      <w:r>
        <w:rPr>
          <w:rFonts w:ascii="Courier New" w:hAnsi="Courier New" w:eastAsia="Courier New"/>
          <w:color w:val="17212B"/>
          <w:sz w:val="19"/>
          <w:lang w:val="en-GB"/>
        </w:rPr>
        <w:t>check_before_each_use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Jurisdiction basis: </w:t>
      </w:r>
      <w:r>
        <w:rPr>
          <w:rFonts w:ascii="Courier New" w:hAnsi="Courier New" w:eastAsia="Courier New"/>
          <w:color w:val="17212B"/>
          <w:sz w:val="19"/>
          <w:lang w:val="en-GB"/>
        </w:rPr>
        <w:t>explicit-family-applicability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Rights decision: </w:t>
      </w:r>
      <w:r>
        <w:rPr>
          <w:rFonts w:ascii="Courier New" w:hAnsi="Courier New" w:eastAsia="Courier New"/>
          <w:color w:val="17212B"/>
          <w:sz w:val="19"/>
          <w:lang w:val="en-GB"/>
        </w:rPr>
        <w:t>linked_reference_summary_only_source_family_decision_recorded</w:t>
      </w:r>
    </w:p>
    <w:p>
      <w:pPr>
        <w:pStyle w:val="Heading3"/>
      </w:pPr>
      <w:r>
        <w:t>Source limitations</w:t>
      </w:r>
    </w:p>
    <w:p>
      <w:pPr>
        <w:spacing w:after="80" w:line="300" w:lineRule="auto"/>
        <w:numPr>
          <w:ilvl w:val="0"/>
          <w:numId w:val="18"/>
        </w:numPr>
      </w:pPr>
      <w:r>
        <w:rPr>
          <w:rFonts w:ascii="Calibri" w:hAnsi="Calibri" w:eastAsia="Calibri"/>
          <w:sz w:val="22"/>
          <w:lang w:val="en-GB"/>
        </w:rPr>
        <w:t>no prediction of whether or how an individual death will be investigated</w:t>
      </w:r>
    </w:p>
    <w:p>
      <w:pPr>
        <w:pStyle w:val="Heading2"/>
      </w:pPr>
      <w:r>
        <w:t>Northern Ireland: Northern Ireland registration time, informant, MCCD, certificates and coroner exception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Official URL: </w:t>
      </w:r>
      <w:hyperlink r:id="rId16">
        <w:r>
          <w:rPr>
            <w:color w:val="004D47"/>
            <w:u w:val="single"/>
          </w:rPr>
          <w:t>https://www.nidirect.gov.uk/articles/registering-death-district-registrar</w:t>
        </w:r>
      </w:hyperlink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Owner: </w:t>
      </w:r>
      <w:r>
        <w:rPr>
          <w:rFonts w:ascii="Calibri" w:hAnsi="Calibri" w:eastAsia="Calibri"/>
          <w:color w:val="17212B"/>
          <w:sz w:val="22"/>
          <w:lang w:val="en-GB"/>
        </w:rPr>
        <w:t>General Register Office for Northern Ireland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ID: </w:t>
      </w:r>
      <w:r>
        <w:rPr>
          <w:rFonts w:ascii="Courier New" w:hAnsi="Courier New" w:eastAsia="Courier New"/>
          <w:color w:val="17212B"/>
          <w:sz w:val="19"/>
          <w:lang w:val="en-GB"/>
        </w:rPr>
        <w:t>nidirect-registering-a-death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route: </w:t>
      </w:r>
      <w:r>
        <w:rPr>
          <w:rFonts w:ascii="Courier New" w:hAnsi="Courier New" w:eastAsia="Courier New"/>
          <w:color w:val="17212B"/>
          <w:sz w:val="19"/>
          <w:lang w:val="en-GB"/>
        </w:rPr>
        <w:t>resource/register-a-death-nidirect-registering-a-death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Authority role: </w:t>
      </w:r>
      <w:r>
        <w:rPr>
          <w:rFonts w:ascii="Courier New" w:hAnsi="Courier New" w:eastAsia="Courier New"/>
          <w:color w:val="17212B"/>
          <w:sz w:val="19"/>
          <w:lang w:val="en-GB"/>
        </w:rPr>
        <w:t>northern_ireland_death_registration_guidance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Summary: </w:t>
      </w:r>
      <w:r>
        <w:rPr>
          <w:rFonts w:ascii="Calibri" w:hAnsi="Calibri" w:eastAsia="Calibri"/>
          <w:color w:val="17212B"/>
          <w:sz w:val="22"/>
          <w:lang w:val="en-GB"/>
        </w:rPr>
        <w:t>Northern Ireland registration time, informant, MCCD, certificates and coroner exception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Observed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2026-08-07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Freshness: </w:t>
      </w:r>
      <w:r>
        <w:rPr>
          <w:rFonts w:ascii="Courier New" w:hAnsi="Courier New" w:eastAsia="Courier New"/>
          <w:color w:val="17212B"/>
          <w:sz w:val="19"/>
          <w:lang w:val="en-GB"/>
        </w:rPr>
        <w:t>check_before_each_use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Jurisdiction basis: </w:t>
      </w:r>
      <w:r>
        <w:rPr>
          <w:rFonts w:ascii="Courier New" w:hAnsi="Courier New" w:eastAsia="Courier New"/>
          <w:color w:val="17212B"/>
          <w:sz w:val="19"/>
          <w:lang w:val="en-GB"/>
        </w:rPr>
        <w:t>explicit-family-applicability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Rights decision: </w:t>
      </w:r>
      <w:r>
        <w:rPr>
          <w:rFonts w:ascii="Courier New" w:hAnsi="Courier New" w:eastAsia="Courier New"/>
          <w:color w:val="17212B"/>
          <w:sz w:val="19"/>
          <w:lang w:val="en-GB"/>
        </w:rPr>
        <w:t>linked_reference_summary_only_source_family_decision_recorded</w:t>
      </w:r>
    </w:p>
    <w:p>
      <w:pPr>
        <w:pStyle w:val="Heading3"/>
      </w:pPr>
      <w:r>
        <w:t>Source limitations</w:t>
      </w:r>
    </w:p>
    <w:p>
      <w:pPr>
        <w:spacing w:after="80" w:line="300" w:lineRule="auto"/>
        <w:numPr>
          <w:ilvl w:val="0"/>
          <w:numId w:val="19"/>
        </w:numPr>
      </w:pPr>
      <w:r>
        <w:rPr>
          <w:rFonts w:ascii="Calibri" w:hAnsi="Calibri" w:eastAsia="Calibri"/>
          <w:sz w:val="22"/>
          <w:lang w:val="en-GB"/>
        </w:rPr>
        <w:t>no Tell Us Once claim and no route outside Northern Ireland</w:t>
      </w:r>
    </w:p>
    <w:p>
      <w:pPr>
        <w:pStyle w:val="Heading2"/>
      </w:pPr>
      <w:r>
        <w:t>Northern Ireland: Northern Ireland coroner referral, investigation and registration-output boundary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Official URL: </w:t>
      </w:r>
      <w:hyperlink r:id="rId17">
        <w:r>
          <w:rPr>
            <w:color w:val="004D47"/>
            <w:u w:val="single"/>
          </w:rPr>
          <w:t>https://www.nidirect.gov.uk/articles/coroners-post-mortems-and-inquests</w:t>
        </w:r>
      </w:hyperlink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Owner: </w:t>
      </w:r>
      <w:r>
        <w:rPr>
          <w:rFonts w:ascii="Calibri" w:hAnsi="Calibri" w:eastAsia="Calibri"/>
          <w:color w:val="17212B"/>
          <w:sz w:val="22"/>
          <w:lang w:val="en-GB"/>
        </w:rPr>
        <w:t>Northern Ireland Courts and Tribunals Service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ID: </w:t>
      </w:r>
      <w:r>
        <w:rPr>
          <w:rFonts w:ascii="Courier New" w:hAnsi="Courier New" w:eastAsia="Courier New"/>
          <w:color w:val="17212B"/>
          <w:sz w:val="19"/>
          <w:lang w:val="en-GB"/>
        </w:rPr>
        <w:t>nidirect-coroners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route: </w:t>
      </w:r>
      <w:r>
        <w:rPr>
          <w:rFonts w:ascii="Courier New" w:hAnsi="Courier New" w:eastAsia="Courier New"/>
          <w:color w:val="17212B"/>
          <w:sz w:val="19"/>
          <w:lang w:val="en-GB"/>
        </w:rPr>
        <w:t>resource/register-a-death-nidirect-coroners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Authority role: </w:t>
      </w:r>
      <w:r>
        <w:rPr>
          <w:rFonts w:ascii="Courier New" w:hAnsi="Courier New" w:eastAsia="Courier New"/>
          <w:color w:val="17212B"/>
          <w:sz w:val="19"/>
          <w:lang w:val="en-GB"/>
        </w:rPr>
        <w:t>northern_ireland_coroner_guidance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Summary: </w:t>
      </w:r>
      <w:r>
        <w:rPr>
          <w:rFonts w:ascii="Calibri" w:hAnsi="Calibri" w:eastAsia="Calibri"/>
          <w:color w:val="17212B"/>
          <w:sz w:val="22"/>
          <w:lang w:val="en-GB"/>
        </w:rPr>
        <w:t>Northern Ireland coroner referral, investigation and registration-output boundary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Observed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2026-08-07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Freshness: </w:t>
      </w:r>
      <w:r>
        <w:rPr>
          <w:rFonts w:ascii="Courier New" w:hAnsi="Courier New" w:eastAsia="Courier New"/>
          <w:color w:val="17212B"/>
          <w:sz w:val="19"/>
          <w:lang w:val="en-GB"/>
        </w:rPr>
        <w:t>check_before_each_use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Jurisdiction basis: </w:t>
      </w:r>
      <w:r>
        <w:rPr>
          <w:rFonts w:ascii="Courier New" w:hAnsi="Courier New" w:eastAsia="Courier New"/>
          <w:color w:val="17212B"/>
          <w:sz w:val="19"/>
          <w:lang w:val="en-GB"/>
        </w:rPr>
        <w:t>explicit-family-applicability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Rights decision: </w:t>
      </w:r>
      <w:r>
        <w:rPr>
          <w:rFonts w:ascii="Courier New" w:hAnsi="Courier New" w:eastAsia="Courier New"/>
          <w:color w:val="17212B"/>
          <w:sz w:val="19"/>
          <w:lang w:val="en-GB"/>
        </w:rPr>
        <w:t>linked_reference_summary_only_source_family_decision_recorded</w:t>
      </w:r>
    </w:p>
    <w:p>
      <w:pPr>
        <w:pStyle w:val="Heading3"/>
      </w:pPr>
      <w:r>
        <w:t>Source limitations</w:t>
      </w:r>
    </w:p>
    <w:p>
      <w:pPr>
        <w:spacing w:after="80" w:line="300" w:lineRule="auto"/>
        <w:numPr>
          <w:ilvl w:val="0"/>
          <w:numId w:val="20"/>
        </w:numPr>
      </w:pPr>
      <w:r>
        <w:rPr>
          <w:rFonts w:ascii="Calibri" w:hAnsi="Calibri" w:eastAsia="Calibri"/>
          <w:sz w:val="22"/>
          <w:lang w:val="en-GB"/>
        </w:rPr>
        <w:t>no prediction of an investigation, post-mortem or inquest in an individual case</w:t>
      </w:r>
    </w:p>
    <w:p>
      <w:pPr>
        <w:pStyle w:val="Heading1"/>
      </w:pPr>
      <w:r>
        <w:t>Review status and limitations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Population gate: </w:t>
      </w:r>
      <w:r>
        <w:rPr>
          <w:rFonts w:ascii="Courier New" w:hAnsi="Courier New" w:eastAsia="Courier New"/>
          <w:color w:val="17212B"/>
          <w:sz w:val="19"/>
          <w:lang w:val="en-GB"/>
        </w:rPr>
        <w:t>complete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Specialist review: </w:t>
      </w:r>
      <w:r>
        <w:rPr>
          <w:rFonts w:ascii="Courier New" w:hAnsi="Courier New" w:eastAsia="Courier New"/>
          <w:color w:val="17212B"/>
          <w:sz w:val="19"/>
          <w:lang w:val="en-GB"/>
        </w:rPr>
        <w:t>required</w:t>
      </w:r>
    </w:p>
    <w:p>
      <w:pPr>
        <w:spacing w:before="80" w:after="160"/>
      </w:pPr>
      <w:r>
        <w:rPr>
          <w:rFonts w:ascii="Calibri" w:hAnsi="Calibri" w:eastAsia="Calibri"/>
          <w:b/>
          <w:lang w:val="en-GB"/>
        </w:rPr>
        <w:t xml:space="preserve">Important distinction. </w:t>
      </w:r>
      <w:r>
        <w:rPr>
          <w:rFonts w:ascii="Calibri" w:hAnsi="Calibri" w:eastAsia="Calibri"/>
          <w:lang w:val="en-GB"/>
        </w:rPr>
        <w:t>Population-complete means the family is present for discovery. It does not mean that the record has passed specialist review or that operational claims are release-grade.</w:t>
      </w:r>
    </w:p>
    <w:p>
      <w:pPr>
        <w:spacing w:after="80" w:line="300" w:lineRule="auto"/>
        <w:numPr>
          <w:ilvl w:val="0"/>
          <w:numId w:val="21"/>
        </w:numPr>
      </w:pPr>
      <w:r>
        <w:rPr>
          <w:rFonts w:ascii="Calibri" w:hAnsi="Calibri" w:eastAsia="Calibri"/>
          <w:sz w:val="22"/>
          <w:lang w:val="en-GB"/>
        </w:rPr>
        <w:t>Medical and investigation authorities remain responsible for real decisions.</w:t>
      </w:r>
    </w:p>
    <w:p>
      <w:pPr>
        <w:spacing w:after="80" w:line="300" w:lineRule="auto"/>
        <w:numPr>
          <w:ilvl w:val="0"/>
          <w:numId w:val="21"/>
        </w:numPr>
      </w:pPr>
      <w:r>
        <w:rPr>
          <w:rFonts w:ascii="Calibri" w:hAnsi="Calibri" w:eastAsia="Calibri"/>
          <w:sz w:val="22"/>
          <w:lang w:val="en-GB"/>
        </w:rPr>
        <w:t>Specialist legal and operational review is required before release-grade status.</w:t>
      </w:r>
    </w:p>
    <w:p>
      <w:pPr>
        <w:pStyle w:val="Heading1"/>
      </w:pPr>
      <w:r>
        <w:t>Related families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Arrange burial or cremation — arrange-burial-or-cremation;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Arrange a funeral — arrange-funeral;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Arrange repatriation after death — arrange-repatriation-after-death;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Claim bereavement support — claim-bereavement-support;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Notify organisations after a death — notify-organisations-after-a-death;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Obtain a medical certificate of cause of death — obtain-medical-certificate-of-cause-of-death;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Refer a death to a coroner or procurator fiscal — refer-death-to-coroner-or-procurator-fiscal; relationship: shared-enclosing-process; sequenced: false</w:t>
      </w:r>
    </w:p>
    <w:sectPr w:rsidR="00FC693F" w:rsidRPr="0006063C" w:rsidSect="00034616">
      <w:headerReference w:type="default" r:id="rId9"/>
      <w:footerReference w:type="default" r:id="rId10"/>
      <w:pgSz w:w="12240" w:h="15840"/>
      <w:pgMar w:top="1440" w:right="1440" w:bottom="1440" w:left="1440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spacing w:before="0" w:after="0"/>
      <w:jc w:val="right"/>
    </w:pPr>
    <w:r>
      <w:rPr>
        <w:rFonts w:ascii="Calibri" w:hAnsi="Calibri" w:eastAsia="Calibri"/>
        <w:color w:val="465766"/>
        <w:sz w:val="17"/>
        <w:lang w:val="en-GB"/>
      </w:rPr>
      <w:t xml:space="preserve">Exploratory governed derivative  |  Page </w:t>
    </w:r>
    <w:r>
      <w:rPr>
        <w:rFonts w:ascii="Calibri" w:hAnsi="Calibri" w:eastAsia="Calibri"/>
        <w:color w:val="465766"/>
        <w:sz w:val="17"/>
        <w:lang w:val="en-GB"/>
      </w:rPr>
      <w:fldChar w:fldCharType="begin"/>
      <w:instrText xml:space="preserve"> PAGE </w:instrText>
      <w:fldChar w:fldCharType="separate"/>
      <w:t>1</w: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  <w:jc w:val="left"/>
    </w:pPr>
    <w:r>
      <w:rPr>
        <w:rFonts w:ascii="Calibri" w:hAnsi="Calibri" w:eastAsia="Calibri"/>
        <w:color w:val="465766"/>
        <w:sz w:val="18"/>
        <w:lang w:val="en-GB"/>
      </w:rPr>
      <w:t>Explore OKF | Retrieval profile v2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abstractNum w:abstractNumId="9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0">
    <w:abstractNumId w:val="9"/>
  </w:num>
  <w:abstractNum w:abstractNumId="10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1">
    <w:abstractNumId w:val="10"/>
  </w:num>
  <w:abstractNum w:abstractNumId="11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2">
    <w:abstractNumId w:val="11"/>
  </w:num>
  <w:abstractNum w:abstractNumId="12">
    <w:multiLevelType w:val="singleLevel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270"/>
      </w:pPr>
    </w:lvl>
  </w:abstractNum>
  <w:num w:numId="13">
    <w:abstractNumId w:val="12"/>
  </w:num>
  <w:abstractNum w:abstractNumId="13">
    <w:multiLevelType w:val="singleLevel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270"/>
      </w:pPr>
    </w:lvl>
  </w:abstractNum>
  <w:num w:numId="14">
    <w:abstractNumId w:val="13"/>
  </w:num>
  <w:abstractNum w:abstractNumId="14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5">
    <w:abstractNumId w:val="14"/>
  </w:num>
  <w:abstractNum w:abstractNumId="15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6">
    <w:abstractNumId w:val="15"/>
  </w:num>
  <w:abstractNum w:abstractNumId="16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7">
    <w:abstractNumId w:val="16"/>
  </w:num>
  <w:abstractNum w:abstractNumId="17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8">
    <w:abstractNumId w:val="17"/>
  </w:num>
  <w:abstractNum w:abstractNumId="18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9">
    <w:abstractNumId w:val="18"/>
  </w:num>
  <w:abstractNum w:abstractNumId="19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20">
    <w:abstractNumId w:val="19"/>
  </w:num>
  <w:abstractNum w:abstractNumId="20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21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before="0" w:after="120" w:line="300" w:lineRule="auto"/>
    </w:pPr>
    <w:rPr>
      <w:rFonts w:ascii="Calibri" w:hAnsi="Calibri" w:eastAsia="Calibri"/>
      <w:color w:val="17212B"/>
      <w:sz w:val="22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360" w:after="200"/>
      <w:outlineLvl w:val="0"/>
    </w:pPr>
    <w:rPr>
      <w:rFonts w:asciiTheme="majorHAnsi" w:eastAsiaTheme="majorEastAsia" w:hAnsiTheme="majorHAnsi" w:cstheme="majorBidi" w:ascii="Calibri" w:hAnsi="Calibri" w:eastAsia="Calibri"/>
      <w:b/>
      <w:bCs/>
      <w:color w:val="2E74B5"/>
      <w:sz w:val="32"/>
      <w:szCs w:val="28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80" w:after="140"/>
      <w:outlineLvl w:val="1"/>
    </w:pPr>
    <w:rPr>
      <w:rFonts w:asciiTheme="majorHAnsi" w:eastAsiaTheme="majorEastAsia" w:hAnsiTheme="majorHAnsi" w:cstheme="majorBidi" w:ascii="Calibri" w:hAnsi="Calibri" w:eastAsia="Calibri"/>
      <w:b/>
      <w:bCs/>
      <w:color w:val="2E74B5"/>
      <w:sz w:val="26"/>
      <w:szCs w:val="26"/>
      <w:lang w:val="en-GB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100"/>
      <w:outlineLvl w:val="2"/>
    </w:pPr>
    <w:rPr>
      <w:rFonts w:asciiTheme="majorHAnsi" w:eastAsiaTheme="majorEastAsia" w:hAnsiTheme="majorHAnsi" w:cstheme="majorBidi" w:ascii="Calibri" w:hAnsi="Calibri" w:eastAsia="Calibri"/>
      <w:b/>
      <w:bCs/>
      <w:color w:val="1F4D78"/>
      <w:sz w:val="24"/>
      <w:lang w:val="en-GB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GovernedJSON">
    <w:name w:val="Governed JSON"/>
    <w:pPr>
      <w:widowControl w:val="0"/>
      <w:spacing w:before="0" w:after="0" w:line="240" w:lineRule="auto"/>
    </w:pPr>
    <w:rPr>
      <w:rFonts w:ascii="Courier New" w:hAnsi="Courier New" w:eastAsia="Courier New"/>
      <w:color w:val="17212B"/>
      <w:sz w:val="16"/>
      <w:lang w:val="en-GB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Relationship Id="rId11" Type="http://schemas.openxmlformats.org/officeDocument/2006/relationships/hyperlink" Target="https://chris-page-gov.github.io/okf-uk-living/explore/ai/families/register-a-death.html" TargetMode="External"/><Relationship Id="rId12" Type="http://schemas.openxmlformats.org/officeDocument/2006/relationships/hyperlink" Target="https://www.gov.uk/register-a-death" TargetMode="External"/><Relationship Id="rId13" Type="http://schemas.openxmlformats.org/officeDocument/2006/relationships/hyperlink" Target="https://www.gov.uk/correcting-a-death-registration" TargetMode="External"/><Relationship Id="rId14" Type="http://schemas.openxmlformats.org/officeDocument/2006/relationships/hyperlink" Target="https://www.nrscotland.gov.uk/registration/registering-a-death" TargetMode="External"/><Relationship Id="rId15" Type="http://schemas.openxmlformats.org/officeDocument/2006/relationships/hyperlink" Target="https://www.copfs.gov.uk/services/bereavement-support/guide-for-bereaved-family-members/deaths-investigation-video-script/" TargetMode="External"/><Relationship Id="rId16" Type="http://schemas.openxmlformats.org/officeDocument/2006/relationships/hyperlink" Target="https://www.nidirect.gov.uk/articles/registering-death-district-registrar" TargetMode="External"/><Relationship Id="rId17" Type="http://schemas.openxmlformats.org/officeDocument/2006/relationships/hyperlink" Target="https://www.nidirect.gov.uk/articles/coroners-post-mortems-and-inquest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Register a death — governed family record</dc:title>
  <dc:subject>SharePoint and Microsoft 365 Copilot retrieval experiment</dc:subject>
  <dc:creator>OKF Explorer</dc:creator>
  <cp:keywords>OKF, Open Knowledge Format, SharePoint, Microsoft 365 Copilot, register-a-death, death registration, register someone who died, death certificate, registrar after a death, make registrar appointment, obtain death certificate</cp:keywords>
  <dc:description>Deterministically generated from the pinned OKF UK Living governed family record.</dc:description>
  <cp:lastModifiedBy>OKF Explorer</cp:lastModifiedBy>
  <cp:revision>1</cp:revision>
  <dcterms:created xsi:type="dcterms:W3CDTF">2026-08-08T00:00:00Z</dcterms:created>
  <dcterms:modified xsi:type="dcterms:W3CDTF">2026-08-08T00:00:00Z</dcterms:modified>
  <cp:category/>
</cp:coreProperties>
</file>