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Rent a private home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private tenancy route, check the landlord or agent boundary and retain the agreement, inventory and payment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1a1c1413addb85e16e76057333fbf1f87034dd61d86f6a92e28caa243833834b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059a6cdc19ecfd717a9a15539f5380d59039a1f37da60e8c8e90e947511d9c43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explore/ai/families/rent-private-home.html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https://chris-page-gov.github.io/okf-uk-living/explore/ai/families/rent-private-home.html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private renting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rented home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tenant rights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considering or starting a tenancy from a private landlord or letting agent.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current tenancy, affordability, safety and complaint handoffs without the bundle recommending a property.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dataset/rent-private-home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service-episode/rent-private-home-ordinary-source-linked-route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considering or starting a tenancy from a private landlord or letting agent.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private tenancy route, check the landlord or agent boundary and retain the agreement, inventory and payment records.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service-step/rent-private-home-ordinary-source-linked-route-select-current-jurisdiction-route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rent a private home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service-step/rent-private-home-ordinary-source-linked-route-follow-current-official-instructions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private tenancy route, check the landlord or agent boundary and retain the agreement, inventory and payment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service-episode/rent-private-home-exception-or-route-failure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service-step/rent-private-home-exception-or-route-failure-resolve-route-boundary-or-failure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Private renting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https://www.gov.uk/private-renting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rent-private-home-primary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resource/rent-private-home-rent-private-home-primary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england_private_renting_guidance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private-renting rights, responsibilities and service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affordability, approve a property or interpret an individual tenancy.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resource/rent-private-home-housing-community-scotland-handoff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resource/rent-private-home-housing-community-wales-handoff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resource/rent-private-home-housing-community-northern-ireland-handoff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nt-private-home.html" TargetMode="External"/><Relationship Id="rId12" Type="http://schemas.openxmlformats.org/officeDocument/2006/relationships/hyperlink" Target="https://www.gov.uk/private-renting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Rent a private home — governed family record</dc:title>
  <dc:subject>SharePoint and Microsoft 365 Copilot retrieval experiment</dc:subject>
  <dc:creator>OKF Explorer</dc:creator>
  <cp:keywords>OKF, Open Knowledge Format, SharePoint, Microsoft 365 Copilot, rent-private-home, private renting, find a rented home, tenant rights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